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2F6B4F" w:sz="8" w:space="4"/>
        </w:pBdr>
        <w:spacing w:after="240"/>
      </w:pPr>
      <w:r>
        <w:rPr>
          <w:b/>
          <w:bCs/>
          <w:color w:val="1D2521"/>
          <w:sz w:val="32"/>
          <w:szCs w:val="32"/>
        </w:rPr>
        <w:t xml:space="preserve">Resolución de Alcaldía n.º </w:t>
      </w:r>
      <w:r>
        <w:rPr>
          <w:b/>
          <w:bCs/>
          <w:color w:val="1D2521"/>
          <w:sz w:val="32"/>
          <w:szCs w:val="32"/>
          <w:highlight w:val="yellow"/>
        </w:rPr>
        <w:t xml:space="preserve">[NÚMERO]</w:t>
      </w:r>
      <w:r>
        <w:rPr>
          <w:b/>
          <w:bCs/>
          <w:color w:val="1D2521"/>
          <w:sz w:val="32"/>
          <w:szCs w:val="32"/>
        </w:rPr>
        <w:t xml:space="preserve">/</w:t>
      </w:r>
      <w:r>
        <w:rPr>
          <w:b/>
          <w:bCs/>
          <w:color w:val="1D2521"/>
          <w:sz w:val="32"/>
          <w:szCs w:val="32"/>
          <w:highlight w:val="yellow"/>
        </w:rPr>
        <w:t xml:space="preserve">[AÑO]</w:t>
      </w:r>
    </w:p>
    <w:p>
      <w:pPr>
        <w:pBdr>
          <w:left w:val="single" w:color="C7802F" w:sz="18" w:space="8"/>
        </w:pBdr>
        <w:spacing w:after="160"/>
        <w:ind w:left="200"/>
      </w:pPr>
      <w:r>
        <w:rPr>
          <w:b/>
          <w:bCs/>
          <w:i/>
          <w:iCs/>
          <w:color w:val="56635C"/>
          <w:sz w:val="19"/>
          <w:szCs w:val="19"/>
        </w:rPr>
        <w:t xml:space="preserve">Nota del modelo (bórrala antes de presentar): </w:t>
      </w:r>
      <w:r>
        <w:rPr>
          <w:i/>
          <w:iCs/>
          <w:color w:val="56635C"/>
          <w:sz w:val="19"/>
          <w:szCs w:val="19"/>
        </w:rPr>
        <w:t xml:space="preserve">Una resolución por persona. Ajusta las condiciones a lo que diga vuestro programa u ordenanza y, si existe, el </w:t>
      </w:r>
      <w:r>
        <w:rPr>
          <w:i/>
          <w:iCs/>
          <w:color w:val="56635C"/>
          <w:sz w:val="19"/>
          <w:szCs w:val="19"/>
          <w:highlight w:val="yellow"/>
        </w:rPr>
        <w:t xml:space="preserve">[PROTOCOLO MARCO AUTONÓMICO]</w:t>
      </w:r>
      <w:r>
        <w:rPr>
          <w:i/>
          <w:iCs/>
          <w:color w:val="56635C"/>
          <w:sz w:val="19"/>
          <w:szCs w:val="19"/>
        </w:rPr>
        <w:t xml:space="preserve">, que fija la formación y acreditación de las personas cuidadoras (art. 40.f de la Ley 7/2023). La resolución se notifica a la persona interesada; no se publica, porque contiene datos personales.</w:t>
      </w:r>
    </w:p>
    <w:p>
      <w:pPr>
        <w:spacing w:after="140"/>
        <w:jc w:val="both"/>
      </w:pPr>
      <w:r>
        <w:rPr>
          <w:b/>
          <w:bCs/>
        </w:rPr>
        <w:t xml:space="preserve">Asunto:</w:t>
      </w:r>
      <w:r>
        <w:t xml:space="preserve"> Acreditación como persona cuidadora de colonias felinas de </w:t>
      </w:r>
      <w:r>
        <w:rPr>
          <w:highlight w:val="yellow"/>
        </w:rPr>
        <w:t xml:space="preserve">[NOMBRE Y APELLIDOS]</w:t>
      </w:r>
      <w:r>
        <w:t xml:space="preserve">.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Antecedentes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El Ayuntamiento aprobó el Programa municipal de gestión de colonias felinas el </w:t>
      </w:r>
      <w:r>
        <w:rPr>
          <w:highlight w:val="yellow"/>
        </w:rPr>
        <w:t xml:space="preserve">[FECHA]</w:t>
      </w:r>
      <w:r>
        <w:t xml:space="preserve"> </w:t>
      </w:r>
      <w:r>
        <w:rPr>
          <w:highlight w:val="yellow"/>
        </w:rPr>
        <w:t xml:space="preserve">[y la Ordenanza reguladora de la gestión de las colonias felinas, publicada en el (BOLETÍN OFICIAL) de (FECHA)]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El </w:t>
      </w:r>
      <w:r>
        <w:rPr>
          <w:highlight w:val="yellow"/>
        </w:rPr>
        <w:t xml:space="preserve">[FECHA]</w:t>
      </w:r>
      <w:r>
        <w:t xml:space="preserve">, </w:t>
      </w:r>
      <w:r>
        <w:rPr>
          <w:highlight w:val="yellow"/>
        </w:rPr>
        <w:t xml:space="preserve">[NOMBRE Y APELLIDOS]</w:t>
      </w:r>
      <w:r>
        <w:t xml:space="preserve">, con DNI </w:t>
      </w:r>
      <w:r>
        <w:rPr>
          <w:highlight w:val="yellow"/>
        </w:rPr>
        <w:t xml:space="preserve">[DNI]</w:t>
      </w:r>
      <w:r>
        <w:t xml:space="preserve">, solicitó su alta como persona cuidadora de la colonia o colonias </w:t>
      </w:r>
      <w:r>
        <w:rPr>
          <w:highlight w:val="yellow"/>
        </w:rPr>
        <w:t xml:space="preserve">[NÚMERO O NOMBRE DE LA COLONIA]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Consta que es mayor de edad y que completó la formación exigida el </w:t>
      </w:r>
      <w:r>
        <w:rPr>
          <w:highlight w:val="yellow"/>
        </w:rPr>
        <w:t xml:space="preserve">[FECHA]</w:t>
      </w:r>
      <w:r>
        <w:t xml:space="preserve"> (</w:t>
      </w:r>
      <w:r>
        <w:rPr>
          <w:highlight w:val="yellow"/>
        </w:rPr>
        <w:t xml:space="preserve">[NOMBRE DEL CURSO O ACCIÓN FORMATIVA]</w:t>
      </w:r>
      <w:r>
        <w:t xml:space="preserve">).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Fundamentos</w:t>
      </w:r>
    </w:p>
    <w:p>
      <w:pPr>
        <w:spacing w:after="140"/>
        <w:jc w:val="both"/>
      </w:pPr>
      <w:r>
        <w:t xml:space="preserve">La Ley 7/2023, de 28 de marzo, define a la persona cuidadora de colonia felina como la persona, debidamente autorizada, que atiende a los gatos pertenecientes a una colonia (art. 3.p), y encarga a la normativa municipal regular sus derechos y obligaciones (art. 39.1.a). La competencia corresponde a la Alcaldía (art. 21.1.s de la Ley 7/1985) </w:t>
      </w:r>
      <w:r>
        <w:rPr>
          <w:highlight w:val="yellow"/>
        </w:rPr>
        <w:t xml:space="preserve">[y el artículo (NÚMERO) de la ordenanza municipal]</w:t>
      </w:r>
      <w:r>
        <w:t xml:space="preserve">.</w:t>
      </w:r>
    </w:p>
    <w:p>
      <w:pPr>
        <w:spacing w:after="140"/>
        <w:jc w:val="both"/>
      </w:pPr>
      <w:r>
        <w:t xml:space="preserve">Por todo ello,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Resuelvo</w:t>
      </w:r>
    </w:p>
    <w:p>
      <w:pPr>
        <w:spacing w:after="140"/>
        <w:jc w:val="both"/>
      </w:pPr>
      <w:r>
        <w:rPr>
          <w:b/>
          <w:bCs/>
        </w:rPr>
        <w:t xml:space="preserve">PRIMERO.</w:t>
      </w:r>
      <w:r>
        <w:t xml:space="preserve"> Acreditar a </w:t>
      </w:r>
      <w:r>
        <w:rPr>
          <w:highlight w:val="yellow"/>
        </w:rPr>
        <w:t xml:space="preserve">[NOMBRE Y APELLIDOS]</w:t>
      </w:r>
      <w:r>
        <w:t xml:space="preserve">, con DNI </w:t>
      </w:r>
      <w:r>
        <w:rPr>
          <w:highlight w:val="yellow"/>
        </w:rPr>
        <w:t xml:space="preserve">[DNI]</w:t>
      </w:r>
      <w:r>
        <w:t xml:space="preserve">, como persona cuidadora de la colonia o colonias </w:t>
      </w:r>
      <w:r>
        <w:rPr>
          <w:highlight w:val="yellow"/>
        </w:rPr>
        <w:t xml:space="preserve">[NÚMERO O NOMBRE DE LA COLONIA]</w:t>
      </w:r>
      <w:r>
        <w:t xml:space="preserve"> del registro municipal.</w:t>
      </w:r>
    </w:p>
    <w:p>
      <w:pPr>
        <w:spacing w:after="140"/>
        <w:jc w:val="both"/>
      </w:pPr>
      <w:r>
        <w:rPr>
          <w:b/>
          <w:bCs/>
        </w:rPr>
        <w:t xml:space="preserve">SEGUNDO.</w:t>
      </w:r>
      <w:r>
        <w:t xml:space="preserve"> Expedirle el carnet de persona cuidadora n.º </w:t>
      </w:r>
      <w:r>
        <w:rPr>
          <w:highlight w:val="yellow"/>
        </w:rPr>
        <w:t xml:space="preserve">[NÚMERO]</w:t>
      </w:r>
      <w:r>
        <w:t xml:space="preserve">, personal e intransferible, que deberá llevar consigo mientras atiende la colonia. El carnet tendrá validez </w:t>
      </w:r>
      <w:r>
        <w:rPr>
          <w:highlight w:val="yellow"/>
        </w:rPr>
        <w:t xml:space="preserve">[mientras colabore en el programa / hasta el (FECHA)]</w:t>
      </w:r>
      <w:r>
        <w:t xml:space="preserve">.</w:t>
      </w:r>
    </w:p>
    <w:p>
      <w:pPr>
        <w:spacing w:after="140"/>
        <w:jc w:val="both"/>
      </w:pPr>
      <w:r>
        <w:rPr>
          <w:b/>
          <w:bCs/>
        </w:rPr>
        <w:t xml:space="preserve">TERCERO.</w:t>
      </w:r>
      <w:r>
        <w:t xml:space="preserve"> La acreditación queda sujeta a estas condiciones: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Alimentar a los gatos con pienso seco y agua, solo en los puntos y horarios autorizados, y mantener limpia la zona.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Vigilar el estado de los gatos y avisar al Ayuntamiento de enfermedades, nacimientos y gatos nuevos.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Colaborar en las capturas para esterilizar, identificar y vacunar a los gatos, según indique el Ayuntamiento.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Comunicar el censo de la colonia cuando se le pida.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No abandonar ni soltar gatos en la colonia, ni trasladar gatos de una colonia a otra (art. 42 de la Ley 7/2023).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Tratar con respeto al vecindario y avisar al Ayuntamiento de cualquier conflicto.</w:t>
      </w:r>
    </w:p>
    <w:p>
      <w:pPr>
        <w:spacing w:after="140"/>
        <w:jc w:val="both"/>
      </w:pPr>
      <w:r>
        <w:rPr>
          <w:b/>
          <w:bCs/>
        </w:rPr>
        <w:t xml:space="preserve">CUARTO.</w:t>
      </w:r>
      <w:r>
        <w:t xml:space="preserve"> La acreditación y el carnet se extinguirán por renuncia de la persona cuidadora o por la baja de todas las colonias que tenga asignadas. Podrán suspenderse o retirarse por incumplimiento grave o reiterado de estas condiciones, previa audiencia de la persona interesada durante </w:t>
      </w:r>
      <w:r>
        <w:rPr>
          <w:highlight w:val="yellow"/>
        </w:rPr>
        <w:t xml:space="preserve">[DIEZ]</w:t>
      </w:r>
      <w:r>
        <w:t xml:space="preserve"> días hábiles (art. 82.2 de la Ley 39/2015). Al terminar, el carnet deberá devolverse o quedará anulado.</w:t>
      </w:r>
    </w:p>
    <w:p>
      <w:pPr>
        <w:spacing w:after="140"/>
        <w:jc w:val="both"/>
      </w:pPr>
      <w:r>
        <w:rPr>
          <w:b/>
          <w:bCs/>
        </w:rPr>
        <w:t xml:space="preserve">QUINTO.</w:t>
      </w:r>
      <w:r>
        <w:t xml:space="preserve"> Notificar esta resolución a la persona interesada e inscribir la acreditación en el registro municipal de personas cuidadoras.</w:t>
      </w:r>
    </w:p>
    <w:p>
      <w:pPr>
        <w:spacing w:after="140"/>
        <w:jc w:val="both"/>
      </w:pPr>
      <w:r>
        <w:t xml:space="preserve">Contra esta resolución, que pone fin a la vía administrativa, puede interponerse recurso potestativo de reposición ante la Alcaldía en el plazo de un mes (arts. 123 y 124 de la Ley 39/2015), o directamente recurso contencioso-administrativo ante el Juzgado de lo Contencioso-Administrativo de </w:t>
      </w:r>
      <w:r>
        <w:rPr>
          <w:highlight w:val="yellow"/>
        </w:rPr>
        <w:t xml:space="preserve">[LUGAR]</w:t>
      </w:r>
      <w:r>
        <w:t xml:space="preserve"> en el plazo de dos meses (art. 46 de la Ley 29/1998), en ambos casos desde el día siguiente a su notificación.</w:t>
      </w:r>
    </w:p>
    <w:p>
      <w:pPr>
        <w:spacing w:after="140"/>
        <w:jc w:val="both"/>
      </w:pPr>
      <w:r>
        <w:t xml:space="preserve">En </w:t>
      </w:r>
      <w:r>
        <w:rPr>
          <w:highlight w:val="yellow"/>
        </w:rPr>
        <w:t xml:space="preserve">[MUNICIPIO]</w:t>
      </w:r>
      <w:r>
        <w:t xml:space="preserve">, a </w:t>
      </w:r>
      <w:r>
        <w:rPr>
          <w:highlight w:val="yellow"/>
        </w:rPr>
        <w:t xml:space="preserve">[FECHA]</w:t>
      </w:r>
      <w:r>
        <w:t xml:space="preserve">.</w:t>
      </w:r>
    </w:p>
    <w:p>
      <w:pPr>
        <w:keepNext/>
        <w:spacing w:after="200" w:before="280"/>
      </w:pPr>
      <w:r>
        <w:t xml:space="preserve">En </w:t>
      </w:r>
      <w:r>
        <w:rPr>
          <w:highlight w:val="yellow"/>
        </w:rPr>
        <w:t xml:space="preserve">[LUGAR]</w:t>
      </w:r>
      <w:r>
        <w:t xml:space="preserve">, a </w:t>
      </w:r>
      <w:r>
        <w:rPr>
          <w:highlight w:val="yellow"/>
        </w:rPr>
        <w:t xml:space="preserve">[FECHA]</w:t>
      </w:r>
      <w:r>
        <w:t xml:space="preserve">.</w:t>
      </w:r>
    </w:p>
    <w:p>
      <w:pPr>
        <w:keepNext/>
        <w:spacing w:after="720"/>
        <w:jc w:val="right"/>
      </w:pPr>
      <w:r>
        <w:t xml:space="preserve">El/La Alcalde/sa</w:t>
      </w:r>
    </w:p>
    <w:p>
      <w:pPr>
        <w:jc w:val="right"/>
      </w:pPr>
      <w:r>
        <w:rPr>
          <w:color w:val="56635C"/>
        </w:rPr>
        <w:t xml:space="preserve">Fdo.: </w:t>
      </w:r>
      <w:r>
        <w:rPr>
          <w:color w:val="56635C"/>
          <w:highlight w:val="yellow"/>
        </w:rPr>
        <w:t xml:space="preserve">[NOMBRE Y APELLIDOS]</w:t>
      </w:r>
    </w:p>
    <w:p>
      <w:pPr>
        <w:keepNext/>
        <w:spacing w:after="200" w:before="280"/>
      </w:pPr>
      <w:r>
        <w:t xml:space="preserve">En </w:t>
      </w:r>
      <w:r>
        <w:rPr>
          <w:highlight w:val="yellow"/>
        </w:rPr>
        <w:t xml:space="preserve">[LUGAR]</w:t>
      </w:r>
      <w:r>
        <w:t xml:space="preserve">, a </w:t>
      </w:r>
      <w:r>
        <w:rPr>
          <w:highlight w:val="yellow"/>
        </w:rPr>
        <w:t xml:space="preserve">[FECHA]</w:t>
      </w:r>
      <w:r>
        <w:t xml:space="preserve">.</w:t>
      </w:r>
    </w:p>
    <w:p>
      <w:pPr>
        <w:keepNext/>
        <w:spacing w:after="720"/>
        <w:jc w:val="right"/>
      </w:pPr>
      <w:r>
        <w:t xml:space="preserve">Ante mí, El/La Secretario/a</w:t>
      </w:r>
    </w:p>
    <w:p>
      <w:pPr>
        <w:jc w:val="right"/>
      </w:pPr>
      <w:r>
        <w:rPr>
          <w:color w:val="56635C"/>
        </w:rPr>
        <w:t xml:space="preserve">Fdo.: </w:t>
      </w:r>
      <w:r>
        <w:rPr>
          <w:color w:val="56635C"/>
          <w:highlight w:val="yellow"/>
        </w:rPr>
        <w:t xml:space="preserve">[NOMBRE Y APELLIDOS]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6635C"/>
        <w:sz w:val="15"/>
        <w:szCs w:val="15"/>
      </w:rPr>
      <w:t xml:space="preserve">Modelo orientativo de colonia.dev. Adáptalo con la Secretaría municipal: no constituye asesoramiento jurídico. Correcciones: correcciones@colonia.dev. Revisado en octubre de 2026. Página </w:t>
    </w:r>
    <w:r>
      <w:rPr>
        <w:color w:val="56635C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Resolución de acreditación de persona cuidadora y expedición del carnet</dc:title>
  <dc:creator>colonia.dev</dc:creator>
  <dc:description>Resolución de Alcaldía que acredita a una persona cuidadora, le asigna colonias y le expide el carnet, con sus condiciones y las causas de retirada.</dc:description>
  <cp:lastModifiedBy>Un-named</cp:lastModifiedBy>
  <cp:revision>1</cp:revision>
  <dcterms:created xsi:type="dcterms:W3CDTF">2026-10-18T16:11:10.057Z</dcterms:created>
  <dcterms:modified xsi:type="dcterms:W3CDTF">2026-10-18T16:11:10.057Z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