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2F6B4F" w:sz="8" w:space="4"/>
        </w:pBdr>
        <w:spacing w:after="240"/>
      </w:pPr>
      <w:r>
        <w:rPr>
          <w:b/>
          <w:bCs/>
          <w:color w:val="1D2521"/>
          <w:sz w:val="32"/>
          <w:szCs w:val="32"/>
        </w:rPr>
        <w:t xml:space="preserve">Providencia de Alcaldía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Es el documento con el que arranca el expediente. Elige lo que vayas a aprobar: solo el programa (lo más sencillo) o el programa y una ordenanza. Borra lo que no uses.</w:t>
      </w:r>
    </w:p>
    <w:p>
      <w:pPr>
        <w:spacing w:after="140"/>
        <w:jc w:val="both"/>
      </w:pPr>
      <w:r>
        <w:rPr>
          <w:b/>
          <w:bCs/>
        </w:rPr>
        <w:t xml:space="preserve">Asunto:</w:t>
      </w:r>
      <w:r>
        <w:t xml:space="preserve"> Programa municipal de gestión de colonias felinas </w:t>
      </w:r>
      <w:r>
        <w:rPr>
          <w:highlight w:val="yellow"/>
        </w:rPr>
        <w:t xml:space="preserve">[y Ordenanza reguladora de la gestión de las colonias felinas]</w:t>
      </w:r>
      <w:r>
        <w:t xml:space="preserve"> de </w:t>
      </w:r>
      <w:r>
        <w:rPr>
          <w:highlight w:val="yellow"/>
        </w:rPr>
        <w:t xml:space="preserve">[MUNICIPIO]</w:t>
      </w:r>
      <w:r>
        <w:t xml:space="preserve">.</w:t>
      </w:r>
    </w:p>
    <w:p>
      <w:pPr>
        <w:spacing w:after="140"/>
        <w:jc w:val="both"/>
      </w:pPr>
      <w:r>
        <w:t xml:space="preserve">La Ley 7/2023, de 28 de marzo, de protección de los derechos y el bienestar de los animales, dispone que, en ausencia de otra previsión en la legislación autonómica, corresponde a las entidades locales la gestión de los gatos comunitarios, a cuyos efectos deberán desarrollar Programas de Gestión de Colonias Felinas con el contenido mínimo de su artículo 39.1.</w:t>
      </w:r>
    </w:p>
    <w:p>
      <w:pPr>
        <w:spacing w:after="140"/>
        <w:jc w:val="both"/>
      </w:pPr>
      <w:r>
        <w:t xml:space="preserve">En el término municipal hay gatos comunitarios que conviene atender, esterilizar e identificar para que las colonias no crezcan y se mantenga la buena convivencia vecinal.</w:t>
      </w:r>
    </w:p>
    <w:p>
      <w:pPr>
        <w:spacing w:after="140"/>
        <w:jc w:val="both"/>
      </w:pPr>
      <w:r>
        <w:t xml:space="preserve">Por todo ello, en uso de las atribuciones que me confiere el artículo 21.1 de la Ley 7/1985, de 2 de abril, Reguladora de las Bases del Régimen Local,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Dispongo</w:t>
      </w:r>
    </w:p>
    <w:p>
      <w:pPr>
        <w:spacing w:after="140"/>
        <w:jc w:val="both"/>
      </w:pPr>
      <w:r>
        <w:rPr>
          <w:b/>
          <w:bCs/>
        </w:rPr>
        <w:t xml:space="preserve">PRIMERO.</w:t>
      </w:r>
      <w:r>
        <w:t xml:space="preserve"> Iniciar el expediente para la aprobación del Programa municipal de gestión de colonias felinas de </w:t>
      </w:r>
      <w:r>
        <w:rPr>
          <w:highlight w:val="yellow"/>
        </w:rPr>
        <w:t xml:space="preserve">[MUNICIPIO]</w:t>
      </w:r>
      <w:r>
        <w:t xml:space="preserve"> </w:t>
      </w:r>
      <w:r>
        <w:rPr>
          <w:highlight w:val="yellow"/>
        </w:rPr>
        <w:t xml:space="preserve">[y de la Ordenanza reguladora de la gestión de las colonias felinas]</w:t>
      </w:r>
      <w:r>
        <w:t xml:space="preserve">.</w:t>
      </w:r>
    </w:p>
    <w:p>
      <w:pPr>
        <w:spacing w:after="140"/>
        <w:jc w:val="both"/>
      </w:pPr>
      <w:r>
        <w:rPr>
          <w:b/>
          <w:bCs/>
        </w:rPr>
        <w:t xml:space="preserve">SEGUNDO.</w:t>
      </w:r>
      <w:r>
        <w:t xml:space="preserve"> Encargar a </w:t>
      </w:r>
      <w:r>
        <w:rPr>
          <w:highlight w:val="yellow"/>
        </w:rPr>
        <w:t xml:space="preserve">[ÓRGANO RESPONSABLE]</w:t>
      </w:r>
      <w:r>
        <w:t xml:space="preserve"> la redacción del texto, con el contenido mínimo del artículo 39.1 de la Ley 7/2023 y, en su caso, lo que añadan la </w:t>
      </w:r>
      <w:r>
        <w:rPr>
          <w:highlight w:val="yellow"/>
        </w:rPr>
        <w:t xml:space="preserve">[LEY AUTONÓMICA DE BIENESTAR ANIMAL]</w:t>
      </w:r>
      <w:r>
        <w:t xml:space="preserve"> y el </w:t>
      </w:r>
      <w:r>
        <w:rPr>
          <w:highlight w:val="yellow"/>
        </w:rPr>
        <w:t xml:space="preserve">[PROTOCOLO MARCO AUTONÓMICO]</w:t>
      </w:r>
      <w:r>
        <w:t xml:space="preserve">.</w:t>
      </w:r>
    </w:p>
    <w:p>
      <w:pPr>
        <w:spacing w:after="140"/>
        <w:jc w:val="both"/>
      </w:pPr>
      <w:r>
        <w:rPr>
          <w:b/>
          <w:bCs/>
        </w:rPr>
        <w:t xml:space="preserve">TERCERO.</w:t>
      </w:r>
      <w:r>
        <w:t xml:space="preserve"> </w:t>
      </w:r>
      <w:r>
        <w:rPr>
          <w:highlight w:val="yellow"/>
        </w:rPr>
        <w:t xml:space="preserve">[Solo si hay ordenanza:]</w:t>
      </w:r>
      <w:r>
        <w:t xml:space="preserve"> Someter la iniciativa a consulta pública previa en la sede electrónica (</w:t>
      </w:r>
      <w:r>
        <w:rPr>
          <w:highlight w:val="yellow"/>
        </w:rPr>
        <w:t xml:space="preserve">[SEDE ELECTRÓNICA]</w:t>
      </w:r>
      <w:r>
        <w:t xml:space="preserve">) durante </w:t>
      </w:r>
      <w:r>
        <w:rPr>
          <w:highlight w:val="yellow"/>
        </w:rPr>
        <w:t xml:space="preserve">[NÚMERO]</w:t>
      </w:r>
      <w:r>
        <w:t xml:space="preserve"> días, de acuerdo con el artículo 133.1 de la Ley 39/2015, de 1 de octubre.</w:t>
      </w:r>
    </w:p>
    <w:p>
      <w:pPr>
        <w:spacing w:after="140"/>
        <w:jc w:val="both"/>
      </w:pPr>
      <w:r>
        <w:rPr>
          <w:b/>
          <w:bCs/>
        </w:rPr>
        <w:t xml:space="preserve">CUARTO.</w:t>
      </w:r>
      <w:r>
        <w:t xml:space="preserve"> Solicitar a la Secretaría informe sobre la legislación aplicable y el procedimiento a seguir (artículo 3.3 del Real Decreto 128/2018, de 16 de marzo).</w:t>
      </w:r>
    </w:p>
    <w:p>
      <w:pPr>
        <w:spacing w:after="140"/>
        <w:jc w:val="both"/>
      </w:pPr>
      <w:r>
        <w:rPr>
          <w:b/>
          <w:bCs/>
        </w:rPr>
        <w:t xml:space="preserve">QUINTO.</w:t>
      </w:r>
      <w:r>
        <w:t xml:space="preserve"> Incorporar al expediente una estimación del gasto del primer año y de los siguientes, y la aplicación presupuestaria con la que se atenderá: </w:t>
      </w:r>
      <w:r>
        <w:rPr>
          <w:highlight w:val="yellow"/>
        </w:rPr>
        <w:t xml:space="preserve">[APLICACIÓN PRESUPUESTARIA]</w:t>
      </w:r>
      <w:r>
        <w:t xml:space="preserve">.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Para estimar el gasto: la esterilización se hace una sola vez por gato; los años siguientes queda el mantenimiento veterinario de los gatos ya esterilizados, que el Ministerio estima en 80 € por gato y año (Plan de Acción 2026-2030, pág. 15). Para empezar basta con las colonias que ya conocéis.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Si solo se aprueba el programa, la consulta pública previa del art. 133 no suele exigirse, porque el programa no es una ordenanza ni un reglamento; la Secretaría lo dirá. Si la hacéis igualmente, usa el modelo de anuncio de consulta pública y el certificado de su resultado.</w:t>
      </w:r>
    </w:p>
    <w:p>
      <w:pPr>
        <w:spacing w:after="140"/>
        <w:jc w:val="both"/>
      </w:pPr>
      <w:r>
        <w:t xml:space="preserve">En </w:t>
      </w:r>
      <w:r>
        <w:rPr>
          <w:highlight w:val="yellow"/>
        </w:rPr>
        <w:t xml:space="preserve">[MUNICIPIO]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200" w:before="280"/>
      </w:pPr>
      <w:r>
        <w:t xml:space="preserve">En </w:t>
      </w:r>
      <w:r>
        <w:rPr>
          <w:highlight w:val="yellow"/>
        </w:rPr>
        <w:t xml:space="preserve">[LUGAR]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720"/>
        <w:jc w:val="right"/>
      </w:pPr>
      <w:r>
        <w:t xml:space="preserve">El/La Alcalde/sa</w:t>
      </w:r>
    </w:p>
    <w:p>
      <w:pPr>
        <w:jc w:val="right"/>
      </w:pPr>
      <w:r>
        <w:rPr>
          <w:color w:val="56635C"/>
        </w:rPr>
        <w:t xml:space="preserve">Fdo.: </w:t>
      </w:r>
      <w:r>
        <w:rPr>
          <w:color w:val="56635C"/>
          <w:highlight w:val="yellow"/>
        </w:rPr>
        <w:t xml:space="preserve">[NOMBRE Y APELLIDOS]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6635C"/>
        <w:sz w:val="15"/>
        <w:szCs w:val="15"/>
      </w:rPr>
      <w:t xml:space="preserve">Modelo orientativo de colonia.dev. Adáptalo con la Secretaría municipal: no constituye asesoramiento jurídico. Correcciones: correcciones@colonia.dev. Revisado en octubre de 2026. Página </w:t>
    </w:r>
    <w:r>
      <w:rPr>
        <w:color w:val="56635C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Providencia de Alcaldía de inicio del expediente</dc:title>
  <dc:creator>colonia.dev</dc:creator>
  <dc:description>Primer papel del expediente: la Alcaldía decide empezar a preparar el programa (y, si se quiere, la ordenanza) y pide el informe de Secretaría.</dc:description>
  <cp:lastModifiedBy>Un-named</cp:lastModifiedBy>
  <cp:revision>1</cp:revision>
  <dcterms:created xsi:type="dcterms:W3CDTF">2026-10-18T16:11:09.640Z</dcterms:created>
  <dcterms:modified xsi:type="dcterms:W3CDTF">2026-10-18T16:11:09.640Z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