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6B4F" w:sz="8" w:space="4"/>
        </w:pBdr>
        <w:spacing w:after="240"/>
      </w:pPr>
      <w:r>
        <w:rPr>
          <w:b/>
          <w:bCs/>
          <w:color w:val="1D2521"/>
          <w:sz w:val="32"/>
          <w:szCs w:val="32"/>
        </w:rPr>
        <w:t xml:space="preserve">Informe de Secretaría sobre el procedimiento de aprobación de la Ordenanza reguladora de la gestión de las colonias felinas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Modelo de apoyo para la Secretaría. El informe lo firma y adapta la persona titular de la Secretaría bajo su criterio profesional.</w:t>
      </w:r>
    </w:p>
    <w:p>
      <w:pPr>
        <w:spacing w:after="140"/>
        <w:jc w:val="both"/>
      </w:pPr>
      <w:r>
        <w:t xml:space="preserve">En relación con el expediente para la aprobación de la Ordenanza reguladora de la gestión de las colonias felinas de </w:t>
      </w:r>
      <w:r>
        <w:rPr>
          <w:highlight w:val="yellow"/>
        </w:rPr>
        <w:t xml:space="preserve">[MUNICIPIO]</w:t>
      </w:r>
      <w:r>
        <w:t xml:space="preserve">, y en cumplimiento de lo dispuesto en el artículo 3.3.d).1.º del Real Decreto 128/2018, de 16 de marzo, se emite el siguiente informe.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Antecedentes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Providencia de Alcaldía de </w:t>
      </w:r>
      <w:r>
        <w:rPr>
          <w:highlight w:val="yellow"/>
        </w:rPr>
        <w:t xml:space="preserve">[FECHA]</w:t>
      </w:r>
      <w:r>
        <w:t xml:space="preserve"> por la que se inicia el expediente.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Consulta pública previa en la sede electrónica entre el </w:t>
      </w:r>
      <w:r>
        <w:rPr>
          <w:highlight w:val="yellow"/>
        </w:rPr>
        <w:t xml:space="preserve">[FECHA]</w:t>
      </w:r>
      <w:r>
        <w:t xml:space="preserve"> y el </w:t>
      </w:r>
      <w:r>
        <w:rPr>
          <w:highlight w:val="yellow"/>
        </w:rPr>
        <w:t xml:space="preserve">[FECHA]</w:t>
      </w:r>
      <w:r>
        <w:t xml:space="preserve">, con el resultado que consta en el certificado de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Legislación aplicable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Ley 7/2023, de 28 de marzo, de protección de los derechos y el bienestar de los animales, en particular sus artículos 38 a 42.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highlight w:val="yellow"/>
        </w:rPr>
        <w:t xml:space="preserve">[LEY AUTONÓMICA DE BIENESTAR ANIMAL]</w:t>
      </w:r>
      <w:r>
        <w:t xml:space="preserve"> y </w:t>
      </w:r>
      <w:r>
        <w:rPr>
          <w:highlight w:val="yellow"/>
        </w:rPr>
        <w:t xml:space="preserve">[PROTOCOLO MARCO AUTONÓMICO]</w:t>
      </w:r>
      <w:r>
        <w:t xml:space="preserve">, si existen.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Ley 7/1985, de 2 de abril, Reguladora de las Bases del Régimen Local: artículos 4.1.a), 21.1.n), 22.2.d), 25, 47, 49, 56, 65.2 y 70.2, y título XI (artículos 139 a 141).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Ley 39/2015, de 1 de octubre: artículos 128 a 133, con el alcance fijado por la STC 55/2018.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Ley 19/2013, de 9 de diciembre, de transparencia, acceso a la información pública y buen gobierno: artículo 7.c).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highlight w:val="yellow"/>
        </w:rPr>
        <w:t xml:space="preserve">[LEGISLACIÓN AUTONÓMICA DE RÉGIMEN LOCAL, si existe, y los trámites adicionales que exija]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Ley 40/2015, de 1 de octubre: capítulo III del título preliminar (potestad sancionadora).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Consideraciones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b/>
          <w:bCs/>
        </w:rPr>
        <w:t xml:space="preserve">Competencia.</w:t>
      </w:r>
      <w:r>
        <w:t xml:space="preserve"> El artículo 39.1 de la Ley 7/2023 atribuye a las entidades locales, en ausencia de otra previsión en la legislación autonómica, la gestión de los gatos comunitarios y les obliga a desarrollar Programas de Gestión de Colonias Felinas, remitiendo a la normativa municipal la regulación de los derechos y deberes de las personas cuidadoras.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b/>
          <w:bCs/>
        </w:rPr>
        <w:t xml:space="preserve">Órgano.</w:t>
      </w:r>
      <w:r>
        <w:t xml:space="preserve"> La aprobación de las ordenanzas corresponde al Pleno (art. 22.2.d LBRL), por mayoría simple (art. 47.1 LBRL).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b/>
          <w:bCs/>
        </w:rPr>
        <w:t xml:space="preserve">Procedimiento</w:t>
      </w:r>
      <w:r>
        <w:t xml:space="preserve"> (art. 49 LBRL): aprobación inicial por el Pleno; información pública y audiencia a los interesados durante un plazo mínimo de 30 días hábiles para la presentación de reclamaciones y sugerencias, mediante anuncio en el </w:t>
      </w:r>
      <w:r>
        <w:rPr>
          <w:highlight w:val="yellow"/>
        </w:rPr>
        <w:t xml:space="preserve">[BOLETÍN OFICIAL]</w:t>
      </w:r>
      <w:r>
        <w:t xml:space="preserve"> y en el tablón de anuncios, y publicación del proyecto en el portal de transparencia (art. 7.c de la Ley 19/2013); resolución de las reclamaciones y aprobación definitiva por el Pleno. Si no se presentan reclamaciones, el acuerdo inicial se entenderá definitivamente adoptado.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b/>
          <w:bCs/>
        </w:rPr>
        <w:t xml:space="preserve">Publicación y entrada en vigor.</w:t>
      </w:r>
      <w:r>
        <w:t xml:space="preserve"> Se remitirá copia del acuerdo a la Administración del Estado y a la de la comunidad autónoma (art. 56 LBRL). El texto íntegro se publicará en el </w:t>
      </w:r>
      <w:r>
        <w:rPr>
          <w:highlight w:val="yellow"/>
        </w:rPr>
        <w:t xml:space="preserve">[BOLETÍN OFICIAL]</w:t>
      </w:r>
      <w:r>
        <w:t xml:space="preserve"> y la ordenanza entrará en vigor cuando, publicado ese texto, hayan transcurrido 15 días hábiles desde la recepción de dicha copia (arts. 65.2 y 70.2 LBRL).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b/>
          <w:bCs/>
        </w:rPr>
        <w:t xml:space="preserve">Régimen sancionador.</w:t>
      </w:r>
      <w:r>
        <w:t xml:space="preserve"> Las infracciones previstas en la Ley 7/2023 y en la ley autonómica se sancionan conforme a ellas; la ordenanza puede especificarlas o graduarlas (art. 80.2 de la Ley 7/2023), sin tipificarlas de nuevo. Solo las conductas que ninguna ley regula pueden tipificarse como infracciones propias, con los límites de los artículos 139 a 141 LBRL. La Alcaldía sanciona las infracciones de la ordenanza (art. 21.1.n LBRL) y las de la Ley 7/2023 cometidas en espacios públicos municipales o que afecten a bienes locales cuando la legislación específica le dé competencia (art. 80.2 de la Ley 7/2023).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b/>
          <w:bCs/>
        </w:rPr>
        <w:t xml:space="preserve">Repercusión presupuestaria.</w:t>
      </w:r>
      <w:r>
        <w:t xml:space="preserve"> La aplicación del programa requiere crédito suficiente en la aplicación presupuestaria </w:t>
      </w:r>
      <w:r>
        <w:rPr>
          <w:highlight w:val="yellow"/>
        </w:rPr>
        <w:t xml:space="preserve">[APLICACIÓN PRESUPUESTARIA]</w:t>
      </w:r>
      <w:r>
        <w:t xml:space="preserve">. Consta </w:t>
      </w:r>
      <w:r>
        <w:rPr>
          <w:highlight w:val="yellow"/>
        </w:rPr>
        <w:t xml:space="preserve">[o no consta]</w:t>
      </w:r>
      <w:r>
        <w:t xml:space="preserve"> memoria económica.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Conclusión</w:t>
      </w:r>
    </w:p>
    <w:p>
      <w:pPr>
        <w:spacing w:after="140"/>
        <w:jc w:val="both"/>
      </w:pPr>
      <w:r>
        <w:t xml:space="preserve">El procedimiento propuesto se ajusta a la legislación aplicable. Se informa </w:t>
      </w:r>
      <w:r>
        <w:rPr>
          <w:highlight w:val="yellow"/>
        </w:rPr>
        <w:t xml:space="preserve">[FAVORABLEMENTE]</w:t>
      </w:r>
      <w:r>
        <w:t xml:space="preserve"> la tramitación del expediente.</w:t>
      </w:r>
    </w:p>
    <w:p>
      <w:pPr>
        <w:keepNext/>
        <w:spacing w:after="20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720"/>
        <w:jc w:val="right"/>
      </w:pPr>
      <w:r>
        <w:t xml:space="preserve">El/La Secretario/a</w:t>
      </w:r>
    </w:p>
    <w:p>
      <w:pPr>
        <w:jc w:val="right"/>
      </w:pPr>
      <w:r>
        <w:rPr>
          <w:color w:val="56635C"/>
        </w:rPr>
        <w:t xml:space="preserve">Fdo.: </w:t>
      </w:r>
      <w:r>
        <w:rPr>
          <w:color w:val="56635C"/>
          <w:highlight w:val="yellow"/>
        </w:rPr>
        <w:t xml:space="preserve">[NOMBRE Y APELLIDOS]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6635C"/>
        <w:sz w:val="15"/>
        <w:szCs w:val="15"/>
      </w:rPr>
      <w:t xml:space="preserve">Modelo orientativo de colonia.dev. Adáptalo con la Secretaría municipal: no constituye asesoramiento jurídico. Correcciones: correcciones@colonia.dev. Revisado en octubre de 2026. Página </w:t>
    </w:r>
    <w:r>
      <w:rPr>
        <w:color w:val="56635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orientativo de informe de Secretaría</dc:title>
  <dc:creator>colonia.dev</dc:creator>
  <dc:description>Informe sobre la legislación aplicable y el procedimiento para aprobar la ordenanza (o el programa) de colonias felinas.</dc:description>
  <cp:lastModifiedBy>Un-named</cp:lastModifiedBy>
  <cp:revision>1</cp:revision>
  <dcterms:created xsi:type="dcterms:W3CDTF">2026-10-18T16:11:09.080Z</dcterms:created>
  <dcterms:modified xsi:type="dcterms:W3CDTF">2026-10-18T16:11:09.080Z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