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Consulta pública previa sobre la Ordenanza reguladora de la gestión de las colonias felinas de </w:t>
      </w:r>
      <w:r>
        <w:rPr>
          <w:b/>
          <w:bCs/>
          <w:color w:val="1D2521"/>
          <w:sz w:val="32"/>
          <w:szCs w:val="32"/>
          <w:highlight w:val="yellow"/>
        </w:rPr>
        <w:t xml:space="preserve">[MUNICIPIO]</w:t>
      </w:r>
    </w:p>
    <w:p>
      <w:pPr>
        <w:spacing w:after="140"/>
        <w:jc w:val="both"/>
      </w:pPr>
      <w:r>
        <w:t xml:space="preserve">De acuerdo con el artículo 133.1 de la Ley 39/2015, de 1 de octubre, del Procedimiento Administrativo Común de las Administraciones Públicas, antes de elaborar el proyecto de ordenanza se abre una consulta pública para recabar la opinión de la ciudadanía y de las organizaciones más representativas potencialmente afectadas.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Problemas que se pretenden solucionar</w:t>
      </w:r>
    </w:p>
    <w:p>
      <w:pPr>
        <w:spacing w:after="140"/>
        <w:jc w:val="both"/>
      </w:pPr>
      <w:r>
        <w:t xml:space="preserve">En el municipio existen colonias de gatos comunitarios cuya población crece sin control, con consecuencias para el bienestar de los animales, la salud pública y la convivencia vecinal. La Ley 7/2023, de 28 de marzo, obliga a los ayuntamientos a gestionarlas mediante un Programa de Gestión de Colonias Felinas y remite a la normativa municipal la regulación de los derechos y deberes de las personas cuidadoras.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Necesidad y oportunidad de su aprobación</w:t>
      </w:r>
    </w:p>
    <w:p>
      <w:pPr>
        <w:spacing w:after="140"/>
        <w:jc w:val="both"/>
      </w:pPr>
      <w:r>
        <w:t xml:space="preserve">La ordenanza es necesaria para cumplir el mandato del artículo 39 de la Ley 7/2023, dar cobertura normativa al programa municipal, ordenar la colaboración de las personas que ya atienden las colonias y establecer las prohibiciones y el régimen sancionador aplicables.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Objetivos de la norma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Regular el registro municipal de colonias felinas.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Establecer la acreditación, derechos y deberes de las personas cuidadoras.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Aplicar el método de captura, esterilización y retorno (CER) con identificación municipal.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Prevenir y resolver los conflictos vecinales.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Fijar las prohibiciones y el régimen sancionador.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Posibles soluciones alternativas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No regular: no es posible, porque la ley exige un programa y remite a la normativa municipal.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Aprobar solo el programa por resolución de Alcaldía: cumple el art. 39 como instrumento de gestión, pero no permite regular con rango de norma los deberes de las personas cuidadoras ni establecer infracciones propias.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Aprobar una ordenanza específica o modificar la ordenanza de bienestar animal vigente: opción elegida por ofrecer seguridad jurídica.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Plazo y forma de participación</w:t>
      </w:r>
    </w:p>
    <w:p>
      <w:pPr>
        <w:spacing w:after="140"/>
        <w:jc w:val="both"/>
      </w:pPr>
      <w:r>
        <w:t xml:space="preserve">Las opiniones podrán presentarse durante </w:t>
      </w:r>
      <w:r>
        <w:rPr>
          <w:highlight w:val="yellow"/>
        </w:rPr>
        <w:t xml:space="preserve">[15]</w:t>
      </w:r>
      <w:r>
        <w:t xml:space="preserve"> días hábiles desde el día siguiente a la publicación de este anuncio en la sede electrónica, a través del registro electrónico del Ayuntamiento (</w:t>
      </w:r>
      <w:r>
        <w:rPr>
          <w:highlight w:val="yellow"/>
        </w:rPr>
        <w:t xml:space="preserve">[SEDE ELECTRÓNICA]</w:t>
      </w:r>
      <w:r>
        <w:t xml:space="preserve">) o en el registro presencial.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El art. 133 no fija la duración de la consulta. Deja un plazo suficiente (por ejemplo, 15 días hábiles; los plazos en días son hábiles salvo que se diga otra cosa, art. 30.2 de la Ley 39/2015). Guarda el certificado de las opiniones recibidas para el expediente.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 de consulta pública previa sobre la ordenanza de colonias felinas</dc:title>
  <dc:creator>colonia.dev</dc:creator>
  <dc:description>Anuncio para la sede electrónica antes de redactar la ordenanza (art. 133 de la Ley 39/2015). Recoge los cuatro apartados del art. 133.1 de la Ley 39/2015: problemas, necesidad, objetivos y alternativas.</dc:description>
  <cp:lastModifiedBy>Un-named</cp:lastModifiedBy>
  <cp:revision>1</cp:revision>
  <dcterms:created xsi:type="dcterms:W3CDTF">2026-10-18T16:11:08.940Z</dcterms:created>
  <dcterms:modified xsi:type="dcterms:W3CDTF">2026-10-18T16:11:08.940Z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