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2F6B4F" w:sz="8" w:space="4"/>
        </w:pBdr>
        <w:spacing w:after="240"/>
      </w:pPr>
      <w:r>
        <w:rPr>
          <w:b/>
          <w:bCs/>
          <w:color w:val="1D2521"/>
          <w:sz w:val="32"/>
          <w:szCs w:val="32"/>
        </w:rPr>
        <w:t xml:space="preserve">Anuncios para el boletín oficial</w:t>
      </w:r>
    </w:p>
    <w:p>
      <w:pPr>
        <w:pBdr>
          <w:left w:val="single" w:color="C7802F" w:sz="18" w:space="8"/>
        </w:pBdr>
        <w:spacing w:after="160"/>
        <w:ind w:left="200"/>
      </w:pPr>
      <w:r>
        <w:rPr>
          <w:b/>
          <w:bCs/>
          <w:i/>
          <w:iCs/>
          <w:color w:val="56635C"/>
          <w:sz w:val="19"/>
          <w:szCs w:val="19"/>
        </w:rPr>
        <w:t xml:space="preserve">Nota del modelo (bórrala antes de presentar): </w:t>
      </w:r>
      <w:r>
        <w:rPr>
          <w:i/>
          <w:iCs/>
          <w:color w:val="56635C"/>
          <w:sz w:val="19"/>
          <w:szCs w:val="19"/>
        </w:rPr>
        <w:t xml:space="preserve">Se publican en el </w:t>
      </w:r>
      <w:r>
        <w:rPr>
          <w:i/>
          <w:iCs/>
          <w:color w:val="56635C"/>
          <w:sz w:val="19"/>
          <w:szCs w:val="19"/>
          <w:highlight w:val="yellow"/>
        </w:rPr>
        <w:t xml:space="preserve">[BOLETÍN OFICIAL]</w:t>
      </w:r>
      <w:r>
        <w:rPr>
          <w:i/>
          <w:iCs/>
          <w:color w:val="56635C"/>
          <w:sz w:val="19"/>
          <w:szCs w:val="19"/>
        </w:rPr>
        <w:t xml:space="preserve">: el de la provincia o, en las comunidades uniprovinciales (Asturias, Cantabria, La Rioja, Madrid, Murcia, Navarra e Illes Balears), el de la comunidad. Pregunta en Secretaría si tu ley autonómica de régimen local exige algún anuncio más.</w:t>
      </w:r>
    </w:p>
    <w:p>
      <w:pPr>
        <w:keepNext/>
        <w:shd w:fill="E3EFE8" w:val="clear"/>
        <w:spacing w:after="120" w:before="280"/>
      </w:pPr>
      <w:r>
        <w:rPr>
          <w:b/>
          <w:bCs/>
          <w:color w:val="245740"/>
          <w:sz w:val="24"/>
          <w:szCs w:val="24"/>
        </w:rPr>
        <w:t xml:space="preserve">1. Anuncio de aprobación inicial e información pública</w:t>
      </w:r>
    </w:p>
    <w:p>
      <w:pPr>
        <w:spacing w:after="140"/>
        <w:jc w:val="both"/>
      </w:pPr>
      <w:r>
        <w:t xml:space="preserve">El Pleno del Ayuntamiento de </w:t>
      </w:r>
      <w:r>
        <w:rPr>
          <w:highlight w:val="yellow"/>
        </w:rPr>
        <w:t xml:space="preserve">[MUNICIPIO]</w:t>
      </w:r>
      <w:r>
        <w:t xml:space="preserve">, en sesión </w:t>
      </w:r>
      <w:r>
        <w:rPr>
          <w:highlight w:val="yellow"/>
        </w:rPr>
        <w:t xml:space="preserve">[ORDINARIA / EXTRAORDINARIA]</w:t>
      </w:r>
      <w:r>
        <w:t xml:space="preserve"> celebrada el </w:t>
      </w:r>
      <w:r>
        <w:rPr>
          <w:highlight w:val="yellow"/>
        </w:rPr>
        <w:t xml:space="preserve">[FECHA]</w:t>
      </w:r>
      <w:r>
        <w:t xml:space="preserve">, acordó aprobar inicialmente la Ordenanza reguladora de la gestión de las colonias felinas.</w:t>
      </w:r>
    </w:p>
    <w:p>
      <w:pPr>
        <w:spacing w:after="140"/>
        <w:jc w:val="both"/>
      </w:pPr>
      <w:r>
        <w:t xml:space="preserve">De conformidad con el artículo 49 de la Ley 7/1985, de 2 de abril, Reguladora de las Bases del Régimen Local, se somete el expediente a información pública por un plazo de treinta días hábiles, contados desde el día siguiente a la publicación de este anuncio en el </w:t>
      </w:r>
      <w:r>
        <w:rPr>
          <w:highlight w:val="yellow"/>
        </w:rPr>
        <w:t xml:space="preserve">[BOLETÍN OFICIAL]</w:t>
      </w:r>
      <w:r>
        <w:t xml:space="preserve">, para que los interesados puedan examinarlo y presentar las reclamaciones y sugerencias que estimen oportunas.</w:t>
      </w:r>
    </w:p>
    <w:p>
      <w:pPr>
        <w:spacing w:after="140"/>
        <w:jc w:val="both"/>
      </w:pPr>
      <w:r>
        <w:t xml:space="preserve">El expediente puede consultarse en la sede electrónica y en el portal de transparencia del Ayuntamiento (</w:t>
      </w:r>
      <w:r>
        <w:rPr>
          <w:highlight w:val="yellow"/>
        </w:rPr>
        <w:t xml:space="preserve">[SEDE ELECTRÓNICA]</w:t>
      </w:r>
      <w:r>
        <w:t xml:space="preserve">) y en las oficinas municipales.</w:t>
      </w:r>
    </w:p>
    <w:p>
      <w:pPr>
        <w:spacing w:after="140"/>
        <w:jc w:val="both"/>
      </w:pPr>
      <w:r>
        <w:t xml:space="preserve">Si no se presentan reclamaciones o sugerencias, el acuerdo se entenderá definitivamente adoptado sin necesidad de nuevo acuerdo.</w:t>
      </w:r>
    </w:p>
    <w:p>
      <w:pPr>
        <w:keepNext/>
        <w:spacing w:after="200" w:before="280"/>
      </w:pPr>
      <w:r>
        <w:t xml:space="preserve">En </w:t>
      </w:r>
      <w:r>
        <w:rPr>
          <w:highlight w:val="yellow"/>
        </w:rPr>
        <w:t xml:space="preserve">[LUGAR]</w:t>
      </w:r>
      <w:r>
        <w:t xml:space="preserve">, a </w:t>
      </w:r>
      <w:r>
        <w:rPr>
          <w:highlight w:val="yellow"/>
        </w:rPr>
        <w:t xml:space="preserve">[FECHA]</w:t>
      </w:r>
      <w:r>
        <w:t xml:space="preserve">.</w:t>
      </w:r>
    </w:p>
    <w:p>
      <w:pPr>
        <w:keepNext/>
        <w:spacing w:after="720"/>
        <w:jc w:val="right"/>
      </w:pPr>
      <w:r>
        <w:t xml:space="preserve">El/La Alcalde/sa</w:t>
      </w:r>
    </w:p>
    <w:p>
      <w:pPr>
        <w:jc w:val="right"/>
      </w:pPr>
      <w:r>
        <w:rPr>
          <w:color w:val="56635C"/>
        </w:rPr>
        <w:t xml:space="preserve">Fdo.: </w:t>
      </w:r>
      <w:r>
        <w:rPr>
          <w:color w:val="56635C"/>
          <w:highlight w:val="yellow"/>
        </w:rPr>
        <w:t xml:space="preserve">[NOMBRE Y APELLIDOS]</w:t>
      </w:r>
    </w:p>
    <w:p>
      <w:pPr>
        <w:keepNext/>
        <w:shd w:fill="E3EFE8" w:val="clear"/>
        <w:spacing w:after="120" w:before="280"/>
      </w:pPr>
      <w:r>
        <w:rPr>
          <w:b/>
          <w:bCs/>
          <w:color w:val="245740"/>
          <w:sz w:val="24"/>
          <w:szCs w:val="24"/>
        </w:rPr>
        <w:t xml:space="preserve">2. Anuncio de aprobación definitiva</w:t>
      </w:r>
    </w:p>
    <w:p>
      <w:pPr>
        <w:spacing w:after="140"/>
        <w:jc w:val="both"/>
      </w:pPr>
      <w:r>
        <w:t xml:space="preserve">Al no haberse presentado reclamaciones durante el plazo de información pública, queda automáticamente elevado a definitivo el acuerdo plenario de </w:t>
      </w:r>
      <w:r>
        <w:rPr>
          <w:highlight w:val="yellow"/>
        </w:rPr>
        <w:t xml:space="preserve">[FECHA]</w:t>
      </w:r>
      <w:r>
        <w:t xml:space="preserve"> por el que se aprobó inicialmente la Ordenanza reguladora de la gestión de las colonias felinas de </w:t>
      </w:r>
      <w:r>
        <w:rPr>
          <w:highlight w:val="yellow"/>
        </w:rPr>
        <w:t xml:space="preserve">[MUNICIPIO]</w:t>
      </w:r>
      <w:r>
        <w:t xml:space="preserve">, cuyo texto íntegro se publica a continuación en cumplimiento del artículo 70.2 de la Ley 7/1985.</w:t>
      </w:r>
    </w:p>
    <w:p>
      <w:pPr>
        <w:spacing w:after="140"/>
        <w:jc w:val="both"/>
      </w:pPr>
      <w:r>
        <w:rPr>
          <w:highlight w:val="yellow"/>
        </w:rPr>
        <w:t xml:space="preserve">[TEXTO ÍNTEGRO DE LA ORDENANZA]</w:t>
      </w:r>
    </w:p>
    <w:p>
      <w:pPr>
        <w:spacing w:after="140"/>
        <w:jc w:val="both"/>
      </w:pPr>
      <w:r>
        <w:t xml:space="preserve">Contra esta ordenanza, que es una disposición de carácter general, no cabe recurso en vía administrativa (art. 112.3 de la Ley 39/2015). Puede interponerse recurso contencioso-administrativo ante la Sala de lo Contencioso-Administrativo del Tribunal Superior de Justicia de </w:t>
      </w:r>
      <w:r>
        <w:rPr>
          <w:highlight w:val="yellow"/>
        </w:rPr>
        <w:t xml:space="preserve">[COMUNIDAD AUTÓNOMA]</w:t>
      </w:r>
      <w:r>
        <w:t xml:space="preserve"> en el plazo de dos meses desde el día siguiente a esta publicación (arts. 10.1.b y 46.1 de la Ley 29/1998), sin perjuicio de cualquier otro que se estime procedente.</w:t>
      </w:r>
    </w:p>
    <w:p>
      <w:pPr>
        <w:pBdr>
          <w:left w:val="single" w:color="C7802F" w:sz="18" w:space="8"/>
        </w:pBdr>
        <w:spacing w:after="160"/>
        <w:ind w:left="200"/>
      </w:pPr>
      <w:r>
        <w:rPr>
          <w:b/>
          <w:bCs/>
          <w:i/>
          <w:iCs/>
          <w:color w:val="56635C"/>
          <w:sz w:val="19"/>
          <w:szCs w:val="19"/>
        </w:rPr>
        <w:t xml:space="preserve">Nota del modelo (bórrala antes de presentar): </w:t>
      </w:r>
      <w:r>
        <w:rPr>
          <w:i/>
          <w:iCs/>
          <w:color w:val="56635C"/>
          <w:sz w:val="19"/>
          <w:szCs w:val="19"/>
        </w:rPr>
        <w:t xml:space="preserve">Si hubo reclamaciones, el Pleno debe resolverlas y aprobar definitivamente la ordenanza; el anuncio citará entonces ese acuerdo en lugar de la elevación automática.</w:t>
      </w:r>
    </w:p>
    <w:p>
      <w:pPr>
        <w:keepNext/>
        <w:spacing w:after="200" w:before="280"/>
      </w:pPr>
      <w:r>
        <w:t xml:space="preserve">En </w:t>
      </w:r>
      <w:r>
        <w:rPr>
          <w:highlight w:val="yellow"/>
        </w:rPr>
        <w:t xml:space="preserve">[LUGAR]</w:t>
      </w:r>
      <w:r>
        <w:t xml:space="preserve">, a </w:t>
      </w:r>
      <w:r>
        <w:rPr>
          <w:highlight w:val="yellow"/>
        </w:rPr>
        <w:t xml:space="preserve">[FECHA]</w:t>
      </w:r>
      <w:r>
        <w:t xml:space="preserve">.</w:t>
      </w:r>
    </w:p>
    <w:p>
      <w:pPr>
        <w:keepNext/>
        <w:spacing w:after="720"/>
        <w:jc w:val="right"/>
      </w:pPr>
      <w:r>
        <w:t xml:space="preserve">El/La Alcalde/sa</w:t>
      </w:r>
    </w:p>
    <w:p>
      <w:pPr>
        <w:jc w:val="right"/>
      </w:pPr>
      <w:r>
        <w:rPr>
          <w:color w:val="56635C"/>
        </w:rPr>
        <w:t xml:space="preserve">Fdo.: </w:t>
      </w:r>
      <w:r>
        <w:rPr>
          <w:color w:val="56635C"/>
          <w:highlight w:val="yellow"/>
        </w:rPr>
        <w:t xml:space="preserve">[NOMBRE Y APELLIDOS]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6635C"/>
        <w:sz w:val="15"/>
        <w:szCs w:val="15"/>
      </w:rPr>
      <w:t xml:space="preserve">Modelo orientativo de colonia.dev. Adáptalo con la Secretaría municipal: no constituye asesoramiento jurídico. Correcciones: correcciones@colonia.dev. Revisado en octubre de 2026. Página </w:t>
    </w:r>
    <w:r>
      <w:rPr>
        <w:color w:val="56635C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Anuncios para el boletín oficial</dc:title>
  <dc:creator>colonia.dev</dc:creator>
  <dc:description>Los dos anuncios que hay que publicar: información pública tras la aprobación inicial y aprobación definitiva con el texto íntegro.</dc:description>
  <cp:lastModifiedBy>Un-named</cp:lastModifiedBy>
  <cp:revision>1</cp:revision>
  <dcterms:created xsi:type="dcterms:W3CDTF">2026-10-18T16:11:09.216Z</dcterms:created>
  <dcterms:modified xsi:type="dcterms:W3CDTF">2026-10-18T16:11:09.216Z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